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F4" w:rsidRDefault="003D73F4" w:rsidP="003D73F4">
      <w:pPr>
        <w:autoSpaceDE w:val="0"/>
        <w:autoSpaceDN w:val="0"/>
        <w:adjustRightInd w:val="0"/>
        <w:jc w:val="center"/>
      </w:pPr>
      <w:bookmarkStart w:id="0" w:name="_GoBack"/>
      <w:bookmarkEnd w:id="0"/>
      <w:r>
        <w:t>ПАСПОРТ</w:t>
      </w:r>
    </w:p>
    <w:p w:rsidR="003D73F4" w:rsidRDefault="003D73F4" w:rsidP="003D73F4">
      <w:pPr>
        <w:autoSpaceDE w:val="0"/>
        <w:autoSpaceDN w:val="0"/>
        <w:adjustRightInd w:val="0"/>
        <w:jc w:val="center"/>
      </w:pPr>
      <w:r>
        <w:t>муниципальной программы муниципального образования</w:t>
      </w:r>
    </w:p>
    <w:p w:rsidR="003D73F4" w:rsidRDefault="003D73F4" w:rsidP="003D73F4">
      <w:pPr>
        <w:autoSpaceDE w:val="0"/>
        <w:autoSpaceDN w:val="0"/>
        <w:adjustRightInd w:val="0"/>
        <w:jc w:val="center"/>
      </w:pPr>
      <w:r>
        <w:t xml:space="preserve"> муниципального района «Боровский район»</w:t>
      </w:r>
    </w:p>
    <w:p w:rsidR="003D73F4" w:rsidRDefault="003D73F4" w:rsidP="003D73F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</w:rPr>
        <w:t xml:space="preserve">«Развитие системы образования  муниципального образования муниципального района «Боровский район»  </w:t>
      </w:r>
    </w:p>
    <w:p w:rsidR="003D73F4" w:rsidRDefault="003D73F4" w:rsidP="003D73F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8"/>
        <w:gridCol w:w="5083"/>
      </w:tblGrid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 w:rsidP="00D81552">
            <w:pPr>
              <w:pStyle w:val="1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>
              <w:t>Ответственный исполнитель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Отдел образования администрации муниципального образования</w:t>
            </w:r>
          </w:p>
          <w:p w:rsidR="003D73F4" w:rsidRDefault="003D73F4">
            <w:pPr>
              <w:autoSpaceDE w:val="0"/>
              <w:autoSpaceDN w:val="0"/>
              <w:adjustRightInd w:val="0"/>
              <w:jc w:val="center"/>
            </w:pPr>
            <w:r>
              <w:t>муниципального района «Боровский район»</w:t>
            </w:r>
          </w:p>
          <w:p w:rsidR="003D73F4" w:rsidRDefault="003D73F4">
            <w:pPr>
              <w:autoSpaceDE w:val="0"/>
              <w:autoSpaceDN w:val="0"/>
              <w:adjustRightInd w:val="0"/>
              <w:jc w:val="center"/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 w:rsidP="00D81552">
            <w:pPr>
              <w:pStyle w:val="1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>
              <w:t>Соисполнители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Отдел образования администрации муниципального образования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 муниципального района «Боровский район»</w:t>
            </w:r>
          </w:p>
          <w:p w:rsidR="003D73F4" w:rsidRDefault="003D73F4">
            <w:pPr>
              <w:autoSpaceDE w:val="0"/>
              <w:autoSpaceDN w:val="0"/>
              <w:adjustRightInd w:val="0"/>
              <w:jc w:val="center"/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 w:rsidP="00D81552">
            <w:pPr>
              <w:pStyle w:val="1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>
              <w:t>Цели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Развитие системы образования как одного из  факторов экономического и социального развития района        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 xml:space="preserve"> 4. Задачи 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организационно- экономических  механизмов, обеспечивающих максимально равную доступность  услуг дошкольного, общего  и дополнительного образования детей;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нового современного качества   образования;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эффективной системы  по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социализации и самореализации   детей и подростков,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материально-технической оснащенности, инфраструктуры ОУ, обеспечивающей реализацию образовательных целей, создание безопасной, здоровьесберегающей, комфортной среды для всех  участников образовательных отношений;</w:t>
            </w:r>
          </w:p>
          <w:p w:rsidR="003D73F4" w:rsidRDefault="003D73F4">
            <w:pPr>
              <w:jc w:val="both"/>
            </w:pPr>
            <w:r>
              <w:t xml:space="preserve"> - повышение роли дополнительного образования;   </w:t>
            </w:r>
          </w:p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-   развитие общественной составляющей в    управлении качеством образования;</w:t>
            </w:r>
          </w:p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- развитие кадрового потенциала системы образования  район;</w:t>
            </w:r>
          </w:p>
          <w:p w:rsidR="003D73F4" w:rsidRDefault="003D73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t xml:space="preserve">- обеспечение функционирования образовательных организаций      </w:t>
            </w:r>
          </w:p>
        </w:tc>
      </w:tr>
      <w:tr w:rsidR="003D73F4" w:rsidTr="003D73F4"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5.Подпрограммы муниципальной программы</w:t>
            </w:r>
          </w:p>
        </w:tc>
      </w:tr>
      <w:tr w:rsidR="003D73F4" w:rsidTr="003D73F4">
        <w:trPr>
          <w:trHeight w:val="375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образования.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доступности и повышение качества дошкольного образование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2. Развитие системы  общего образования.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и повышение качества общего образования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3.Развитие системы  дополнительного образования.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и повышение качества дополнительного образования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4. Организация питания, медицинское обеспечение, формирование  здорового образа  жизни.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Сохранение и укрепление здоровья обучающихся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5.Обеспечение безопасности образовательных  организаций.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Создание системы безопасности образовательных организаций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autoSpaceDE w:val="0"/>
              <w:autoSpaceDN w:val="0"/>
              <w:adjustRightInd w:val="0"/>
              <w:jc w:val="both"/>
            </w:pPr>
            <w:r>
              <w:t>6. Одаренные дети.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Выявление и поддержка одарённых детей и молодёжи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Развитие кадрового потенциала  системы образования.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r>
              <w:t>Основное мероприятие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4" w:rsidRDefault="003D73F4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системы образования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  <w:r>
              <w:t>6. Индикаторы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-доступность дошкольного образования (отношение численности детей 3 - 7 лет, которым предоставлена возможность получать услуги  дошкольного образования, к численности  детей в возрасте 3 - 7 лет;  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удельный вес численности обучающихся общеобразовательных организаций, которым  предоставлена возможность обучаться в соответствии с основными современными требованиями, в общей численности обучающихся;  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- доля выпускников, сдавших Единый государственный экзамен (далее ЕГЭ) от числа выпускников, участвовавших в ЕГЭ;</w:t>
            </w:r>
          </w:p>
          <w:p w:rsidR="003D73F4" w:rsidRDefault="003D73F4">
            <w:pPr>
              <w:jc w:val="both"/>
            </w:pPr>
            <w:r>
              <w:t xml:space="preserve"> - доля обучающихся начальной и основной ступени  общего образования, обучающихся по федеральным государственным образовательным стандарта;</w:t>
            </w:r>
          </w:p>
          <w:p w:rsidR="003D73F4" w:rsidRDefault="003D73F4">
            <w:pPr>
              <w:jc w:val="both"/>
            </w:pPr>
            <w:r>
              <w:rPr>
                <w:spacing w:val="-3"/>
              </w:rPr>
              <w:t xml:space="preserve">- </w:t>
            </w:r>
            <w:r>
              <w:t>доля обучающихся, получающих полноценное горячее питание в общеобразовательных учреждениях, от общей численности обучающихся;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-удельный вес численности  обучающихся,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занятых в системе дополнительным образованием;</w:t>
            </w:r>
          </w:p>
          <w:p w:rsidR="003D73F4" w:rsidRDefault="003D73F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удельный вес численности детей  с ограниченными возможностями, имеющие доступ  к качественному образованию;</w:t>
            </w:r>
          </w:p>
          <w:p w:rsidR="003D73F4" w:rsidRDefault="003D73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t>- доля детей школьного возраста, занимающихся в спортивных секциях образовательных  организаций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  <w:r>
              <w:lastRenderedPageBreak/>
              <w:t xml:space="preserve"> 7. Сроки и этапы реализации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autoSpaceDE w:val="0"/>
              <w:autoSpaceDN w:val="0"/>
              <w:adjustRightInd w:val="0"/>
              <w:jc w:val="center"/>
            </w:pPr>
            <w:r>
              <w:t>2015-2020 гг.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  <w:r>
              <w:t>8. Объемы финансирования муниципальной программы за счет всех источников финансирования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 xml:space="preserve"> </w:t>
            </w:r>
            <w:r>
              <w:t xml:space="preserve">Общий объем средств, необходимых для реализации  мероприятий программы -   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2 218 618,731тыс.  руб.            </w:t>
            </w:r>
            <w:r>
              <w:br/>
              <w:t xml:space="preserve">в том числе по годам:                                     </w:t>
            </w:r>
            <w:r>
              <w:br/>
              <w:t xml:space="preserve">2015 год -    710 690 ,797 тыс.руб.;                                </w:t>
            </w:r>
            <w:r>
              <w:br/>
              <w:t xml:space="preserve">2016 год -    693 127,516 тыс. руб.;                                </w:t>
            </w:r>
            <w:r>
              <w:br/>
              <w:t xml:space="preserve">2017 год -   203 302,354  тыс.руб.; 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2018 год -   204 108,355  тыс. руб.;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2019 год -   203 650,355  тыс. руб.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2020 год -  203 739,355   тыс. руб.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из них по источникам финансирования:  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- средства бюджета МО МР «Боровский район»  -   1 404 559,912 тыс.  руб. , в том числе по годам:                                     </w:t>
            </w:r>
            <w:r>
              <w:br/>
              <w:t xml:space="preserve">2015 год -   335 943,211 тыс.руб.;                                </w:t>
            </w:r>
            <w:r>
              <w:br/>
              <w:t xml:space="preserve">2016 год -   253 816,282 тыс. руб.;                                </w:t>
            </w:r>
            <w:r>
              <w:br/>
              <w:t xml:space="preserve">2017 год -   203 302,354  тыс.руб.; 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2018 год -   204 108,355  тыс. руб.;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2019 год -   203 650,355  тыс. руб.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>2020 год -   203 739,355  тыс. руб.</w:t>
            </w:r>
          </w:p>
          <w:p w:rsidR="003D73F4" w:rsidRDefault="003D73F4">
            <w:pPr>
              <w:pStyle w:val="p1"/>
              <w:spacing w:before="0" w:beforeAutospacing="0" w:after="0" w:afterAutospacing="0"/>
            </w:pPr>
            <w:r>
              <w:t xml:space="preserve"> - иные источники:                                          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 - средства федерального бюджета -  3 754,309 тыс. руб., в том числе по годам:                                  </w:t>
            </w:r>
            <w:r>
              <w:br/>
              <w:t xml:space="preserve"> 2015 год -  2 114 ,626 тыс. руб.;                                </w:t>
            </w:r>
            <w:r>
              <w:br/>
              <w:t xml:space="preserve">2016 год – 1 639,683 тыс. руб.;                                </w:t>
            </w:r>
            <w:r>
              <w:br/>
              <w:t xml:space="preserve">2017 год - __________;    </w:t>
            </w:r>
          </w:p>
          <w:p w:rsidR="003D73F4" w:rsidRDefault="003D73F4">
            <w:pPr>
              <w:pStyle w:val="p1"/>
              <w:spacing w:before="0" w:beforeAutospacing="0" w:after="0" w:afterAutospacing="0"/>
            </w:pPr>
            <w:r>
              <w:t>2018 год-</w:t>
            </w:r>
          </w:p>
          <w:p w:rsidR="003D73F4" w:rsidRDefault="003D73F4">
            <w:pPr>
              <w:pStyle w:val="p1"/>
              <w:spacing w:before="0" w:beforeAutospacing="0" w:after="0" w:afterAutospacing="0"/>
            </w:pPr>
            <w:r>
              <w:t>2019 год-</w:t>
            </w:r>
          </w:p>
          <w:p w:rsidR="003D73F4" w:rsidRDefault="003D73F4">
            <w:pPr>
              <w:autoSpaceDE w:val="0"/>
              <w:autoSpaceDN w:val="0"/>
              <w:adjustRightInd w:val="0"/>
            </w:pPr>
            <w:r>
              <w:t xml:space="preserve">2020 год-                                                          </w:t>
            </w:r>
            <w:r>
              <w:br/>
              <w:t xml:space="preserve">- средства областного бюджета – 810 304, 51 тыс. руб., в том числе по годам:                                  </w:t>
            </w:r>
            <w:r>
              <w:br/>
              <w:t xml:space="preserve"> 2015 год - 372 632,959 тыс. руб.;                                     </w:t>
            </w:r>
            <w:r>
              <w:br/>
              <w:t xml:space="preserve">2016 год – 437 671,551тыс. руб.;                                </w:t>
            </w:r>
            <w:r>
              <w:br/>
              <w:t xml:space="preserve">2017 год - __________; </w:t>
            </w:r>
          </w:p>
          <w:p w:rsidR="003D73F4" w:rsidRDefault="003D73F4">
            <w:pPr>
              <w:pStyle w:val="p1"/>
              <w:spacing w:before="0" w:beforeAutospacing="0" w:after="0" w:afterAutospacing="0"/>
            </w:pPr>
            <w:r>
              <w:t>2018 год-</w:t>
            </w:r>
          </w:p>
          <w:p w:rsidR="003D73F4" w:rsidRDefault="003D73F4">
            <w:pPr>
              <w:pStyle w:val="p1"/>
              <w:spacing w:before="0" w:beforeAutospacing="0" w:after="0" w:afterAutospacing="0"/>
            </w:pPr>
            <w:r>
              <w:t>2019 год-</w:t>
            </w:r>
          </w:p>
          <w:p w:rsidR="003D73F4" w:rsidRDefault="003D73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t xml:space="preserve">2020 год-                                                             </w:t>
            </w:r>
            <w:r>
              <w:br/>
              <w:t xml:space="preserve">  </w:t>
            </w:r>
          </w:p>
        </w:tc>
      </w:tr>
      <w:tr w:rsidR="003D73F4" w:rsidTr="003D73F4"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  <w:r>
              <w:t xml:space="preserve"> 9.Ожидаемые результаты реализации муниципальной программы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повысится удовлетворенность населения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образовательных услуг;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различными формами дошкольного образования будут охвачены  все дети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возраста,  проживающие и нуждающиеся  в разных  формах образования ;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общеобразовательных организациях будут созданы условия, соответствующие требованиям федеральных государственных образовательных   стандартов;</w:t>
            </w:r>
          </w:p>
          <w:p w:rsidR="003D73F4" w:rsidRDefault="003D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 менее 70 процентов детей 5 - 18 лет будут  охвачены программами дополнительного образования;</w:t>
            </w:r>
          </w:p>
          <w:p w:rsidR="003D73F4" w:rsidRDefault="003D73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-обучающимся старшей  ступени будет обеспечена возможность выбора профиля обучения и индивидуальной траектории освоения образовательной программы;  </w:t>
            </w:r>
          </w:p>
          <w:p w:rsidR="003D73F4" w:rsidRDefault="003D73F4">
            <w:pPr>
              <w:jc w:val="both"/>
              <w:rPr>
                <w:rFonts w:cs="Calibri"/>
              </w:rPr>
            </w:pPr>
            <w:r>
              <w:t>- улучшение кадрового обеспечения системы образования;</w:t>
            </w:r>
          </w:p>
          <w:p w:rsidR="003D73F4" w:rsidRDefault="003D73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увеличение количества детей, ставших победителями и призерами конкурсов, соревнований федерального, регионального, муниципального уровней;</w:t>
            </w:r>
          </w:p>
          <w:p w:rsidR="003D73F4" w:rsidRDefault="003D73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увеличение количества  детей, получивших  грантовую и  иную  социальную поддержку;</w:t>
            </w:r>
          </w:p>
          <w:p w:rsidR="003D73F4" w:rsidRDefault="003D73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 в образовательных организациях будут созданы безопасные  условия пребывания   детей ;</w:t>
            </w:r>
          </w:p>
          <w:p w:rsidR="003D73F4" w:rsidRDefault="003D73F4">
            <w:pPr>
              <w:jc w:val="both"/>
            </w:pPr>
            <w:r>
              <w:rPr>
                <w:rFonts w:cs="Calibri"/>
              </w:rPr>
              <w:t>- увеличится  число обучающихся, охваченных горячим питанием</w:t>
            </w:r>
          </w:p>
        </w:tc>
      </w:tr>
    </w:tbl>
    <w:p w:rsidR="003D73F4" w:rsidRDefault="003D73F4" w:rsidP="003D73F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D73F4" w:rsidRDefault="003D73F4" w:rsidP="003D73F4">
      <w:pPr>
        <w:autoSpaceDE w:val="0"/>
        <w:autoSpaceDN w:val="0"/>
        <w:adjustRightInd w:val="0"/>
        <w:jc w:val="both"/>
        <w:rPr>
          <w:b/>
        </w:rPr>
      </w:pPr>
    </w:p>
    <w:p w:rsidR="003D73F4" w:rsidRDefault="003D73F4" w:rsidP="003D73F4">
      <w:pPr>
        <w:autoSpaceDE w:val="0"/>
        <w:autoSpaceDN w:val="0"/>
        <w:adjustRightInd w:val="0"/>
        <w:jc w:val="both"/>
        <w:rPr>
          <w:b/>
        </w:rPr>
      </w:pPr>
    </w:p>
    <w:p w:rsidR="00783252" w:rsidRDefault="00783252"/>
    <w:sectPr w:rsidR="00783252" w:rsidSect="0078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F4"/>
    <w:rsid w:val="003D73F4"/>
    <w:rsid w:val="00783252"/>
    <w:rsid w:val="0088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D73F4"/>
    <w:pPr>
      <w:ind w:left="720"/>
    </w:pPr>
  </w:style>
  <w:style w:type="paragraph" w:customStyle="1" w:styleId="p1">
    <w:name w:val="p1"/>
    <w:basedOn w:val="a"/>
    <w:rsid w:val="003D73F4"/>
    <w:pPr>
      <w:spacing w:before="100" w:beforeAutospacing="1" w:after="100" w:afterAutospacing="1"/>
    </w:pPr>
  </w:style>
  <w:style w:type="paragraph" w:customStyle="1" w:styleId="ConsPlusCell">
    <w:name w:val="ConsPlusCell"/>
    <w:rsid w:val="003D73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D73F4"/>
    <w:pPr>
      <w:ind w:left="720"/>
    </w:pPr>
  </w:style>
  <w:style w:type="paragraph" w:customStyle="1" w:styleId="p1">
    <w:name w:val="p1"/>
    <w:basedOn w:val="a"/>
    <w:rsid w:val="003D73F4"/>
    <w:pPr>
      <w:spacing w:before="100" w:beforeAutospacing="1" w:after="100" w:afterAutospacing="1"/>
    </w:pPr>
  </w:style>
  <w:style w:type="paragraph" w:customStyle="1" w:styleId="ConsPlusCell">
    <w:name w:val="ConsPlusCell"/>
    <w:rsid w:val="003D73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2016-11-14T05:18:00Z</dcterms:created>
  <dcterms:modified xsi:type="dcterms:W3CDTF">2016-11-14T05:18:00Z</dcterms:modified>
</cp:coreProperties>
</file>